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1" w:rsidRPr="001C2E03" w:rsidRDefault="00077963" w:rsidP="00077963">
      <w:pPr>
        <w:spacing w:after="0" w:line="240" w:lineRule="auto"/>
        <w:rPr>
          <w:rFonts w:ascii="Gill Sans MT" w:hAnsi="Gill Sans MT"/>
          <w:color w:val="808080" w:themeColor="background1" w:themeShade="80"/>
          <w:sz w:val="24"/>
          <w:szCs w:val="24"/>
        </w:rPr>
      </w:pPr>
      <w:r w:rsidRPr="001C2E03">
        <w:rPr>
          <w:rFonts w:ascii="Gill Sans MT" w:hAnsi="Gill Sans MT" w:cs="Arial"/>
          <w:b/>
          <w:bCs/>
          <w:color w:val="808080" w:themeColor="background1" w:themeShade="80"/>
          <w:sz w:val="40"/>
          <w:szCs w:val="40"/>
        </w:rPr>
        <w:t>Tamer Qattawi</w:t>
      </w:r>
    </w:p>
    <w:p w:rsidR="00077963" w:rsidRPr="00077963" w:rsidRDefault="00432D59" w:rsidP="00432D59">
      <w:pPr>
        <w:spacing w:after="0" w:line="240" w:lineRule="auto"/>
        <w:rPr>
          <w:rFonts w:ascii="Gill Sans MT" w:hAnsi="Gill Sans MT"/>
          <w:b/>
          <w:bCs/>
          <w:color w:val="808080" w:themeColor="background1" w:themeShade="80"/>
          <w:sz w:val="28"/>
          <w:szCs w:val="28"/>
        </w:rPr>
      </w:pPr>
      <w:r>
        <w:rPr>
          <w:rFonts w:ascii="Gill Sans MT" w:hAnsi="Gill Sans MT"/>
          <w:b/>
          <w:bCs/>
          <w:color w:val="808080" w:themeColor="background1" w:themeShade="80"/>
          <w:sz w:val="28"/>
          <w:szCs w:val="28"/>
        </w:rPr>
        <w:t>QA/QC</w:t>
      </w:r>
      <w:r w:rsidR="00077963" w:rsidRPr="00077963">
        <w:rPr>
          <w:rFonts w:ascii="Gill Sans MT" w:hAnsi="Gill Sans MT"/>
          <w:b/>
          <w:bCs/>
          <w:color w:val="808080" w:themeColor="background1" w:themeShade="80"/>
          <w:sz w:val="28"/>
          <w:szCs w:val="28"/>
        </w:rPr>
        <w:t xml:space="preserve"> Manager </w:t>
      </w:r>
    </w:p>
    <w:p w:rsidR="00077963" w:rsidRPr="00077963" w:rsidRDefault="00077963" w:rsidP="00077963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:rsidR="00077963" w:rsidRPr="00077963" w:rsidRDefault="00077963" w:rsidP="00077963">
      <w:pPr>
        <w:spacing w:after="0" w:line="240" w:lineRule="auto"/>
        <w:rPr>
          <w:rFonts w:ascii="Gill Sans MT" w:hAnsi="Gill Sans MT" w:cs="Arial"/>
          <w:color w:val="808080" w:themeColor="background1" w:themeShade="80"/>
          <w:sz w:val="24"/>
          <w:szCs w:val="24"/>
        </w:rPr>
      </w:pPr>
      <w:r w:rsidRPr="00077963">
        <w:rPr>
          <w:rFonts w:ascii="Gill Sans MT" w:hAnsi="Gill Sans MT" w:cs="Arial"/>
          <w:color w:val="808080" w:themeColor="background1" w:themeShade="80"/>
          <w:sz w:val="24"/>
          <w:szCs w:val="24"/>
        </w:rPr>
        <w:t xml:space="preserve">Address    Khobar - Saudi Arabia </w:t>
      </w:r>
    </w:p>
    <w:p w:rsidR="00077963" w:rsidRPr="00077963" w:rsidRDefault="00077963" w:rsidP="00077963">
      <w:pPr>
        <w:spacing w:after="0" w:line="240" w:lineRule="auto"/>
        <w:rPr>
          <w:rFonts w:ascii="Gill Sans MT" w:hAnsi="Gill Sans MT" w:cs="Arial"/>
          <w:b/>
          <w:bCs/>
          <w:i/>
          <w:iCs/>
          <w:color w:val="808080" w:themeColor="background1" w:themeShade="80"/>
          <w:sz w:val="24"/>
          <w:szCs w:val="24"/>
        </w:rPr>
      </w:pPr>
      <w:r w:rsidRPr="00077963">
        <w:rPr>
          <w:rFonts w:ascii="Gill Sans MT" w:hAnsi="Gill Sans MT" w:cs="Arial"/>
          <w:color w:val="808080" w:themeColor="background1" w:themeShade="80"/>
          <w:sz w:val="24"/>
          <w:szCs w:val="24"/>
        </w:rPr>
        <w:t>Phone      +966</w:t>
      </w:r>
      <w:r w:rsidR="00905736">
        <w:rPr>
          <w:rFonts w:ascii="Gill Sans MT" w:hAnsi="Gill Sans MT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077963">
        <w:rPr>
          <w:rFonts w:ascii="Gill Sans MT" w:hAnsi="Gill Sans MT" w:cs="Arial"/>
          <w:i/>
          <w:iCs/>
          <w:color w:val="808080" w:themeColor="background1" w:themeShade="80"/>
          <w:sz w:val="24"/>
          <w:szCs w:val="24"/>
        </w:rPr>
        <w:t>500 319 239</w:t>
      </w:r>
      <w:r w:rsidRPr="00077963">
        <w:rPr>
          <w:rFonts w:ascii="Gill Sans MT" w:hAnsi="Gill Sans MT" w:cs="Arial"/>
          <w:color w:val="808080" w:themeColor="background1" w:themeShade="80"/>
          <w:sz w:val="24"/>
          <w:szCs w:val="24"/>
        </w:rPr>
        <w:t xml:space="preserve">  </w:t>
      </w:r>
      <w:r w:rsidRPr="00077963">
        <w:rPr>
          <w:rFonts w:ascii="Gill Sans MT" w:hAnsi="Gill Sans MT" w:cs="Arial"/>
          <w:b/>
          <w:bCs/>
          <w:i/>
          <w:iCs/>
          <w:color w:val="808080" w:themeColor="background1" w:themeShade="80"/>
          <w:sz w:val="24"/>
          <w:szCs w:val="24"/>
        </w:rPr>
        <w:t xml:space="preserve">  </w:t>
      </w:r>
    </w:p>
    <w:p w:rsidR="00077963" w:rsidRPr="00077963" w:rsidRDefault="00077963" w:rsidP="00077963">
      <w:pPr>
        <w:spacing w:after="0" w:line="240" w:lineRule="auto"/>
        <w:rPr>
          <w:rFonts w:ascii="Gill Sans MT" w:hAnsi="Gill Sans MT" w:cs="Arial"/>
          <w:color w:val="808080" w:themeColor="background1" w:themeShade="80"/>
          <w:sz w:val="24"/>
          <w:szCs w:val="24"/>
        </w:rPr>
      </w:pPr>
      <w:r w:rsidRPr="00077963">
        <w:rPr>
          <w:rFonts w:ascii="Gill Sans MT" w:hAnsi="Gill Sans MT"/>
          <w:color w:val="808080" w:themeColor="background1" w:themeShade="80"/>
        </w:rPr>
        <w:t xml:space="preserve">E-mail        </w:t>
      </w:r>
      <w:hyperlink r:id="rId8" w:history="1">
        <w:r w:rsidRPr="00077963">
          <w:rPr>
            <w:rStyle w:val="Hyperlink"/>
            <w:rFonts w:ascii="Gill Sans MT" w:hAnsi="Gill Sans MT" w:cs="Arial"/>
            <w:i/>
            <w:iCs/>
            <w:color w:val="808080" w:themeColor="background1" w:themeShade="80"/>
            <w:sz w:val="24"/>
            <w:szCs w:val="24"/>
            <w:u w:val="none"/>
          </w:rPr>
          <w:t>tamqat@gmail.com</w:t>
        </w:r>
      </w:hyperlink>
    </w:p>
    <w:p w:rsidR="00104DD5" w:rsidRPr="003D3836" w:rsidRDefault="00104DD5" w:rsidP="003D3836">
      <w:pPr>
        <w:rPr>
          <w:rFonts w:ascii="Gill Sans MT" w:hAnsi="Gill Sans MT" w:cs="HelveticaNeue-Condensed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8440"/>
      </w:tblGrid>
      <w:tr w:rsidR="001C2E03" w:rsidTr="00D87202">
        <w:trPr>
          <w:trHeight w:val="710"/>
        </w:trPr>
        <w:tc>
          <w:tcPr>
            <w:tcW w:w="2243" w:type="dxa"/>
          </w:tcPr>
          <w:p w:rsidR="003D3836" w:rsidRDefault="003D3836" w:rsidP="003D3836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r w:rsidRPr="003830D1"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  <w:t>Qualifications</w:t>
            </w:r>
          </w:p>
          <w:p w:rsidR="00D87202" w:rsidRDefault="00D87202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</w:p>
          <w:p w:rsidR="003D3836" w:rsidRDefault="003D3836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</w:p>
          <w:p w:rsidR="003D3836" w:rsidRDefault="003D3836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</w:p>
          <w:p w:rsidR="003D3836" w:rsidRDefault="003D3836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</w:p>
          <w:p w:rsidR="003D3836" w:rsidRDefault="003D3836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</w:p>
          <w:p w:rsidR="003D3836" w:rsidRDefault="003D3836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bookmarkStart w:id="0" w:name="_GoBack"/>
            <w:bookmarkEnd w:id="0"/>
          </w:p>
          <w:p w:rsidR="00EC2BB1" w:rsidRDefault="00B24BED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  <w:t>Employment</w:t>
            </w:r>
          </w:p>
          <w:p w:rsidR="00EC2BB1" w:rsidRDefault="00EC2BB1" w:rsidP="006E6A14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  <w:t>Record</w:t>
            </w:r>
          </w:p>
          <w:p w:rsidR="00A57A0E" w:rsidRPr="00334F19" w:rsidRDefault="00B24BED" w:rsidP="00334F19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  <w:t xml:space="preserve"> </w:t>
            </w:r>
          </w:p>
        </w:tc>
        <w:tc>
          <w:tcPr>
            <w:tcW w:w="8440" w:type="dxa"/>
          </w:tcPr>
          <w:p w:rsidR="003D3836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Quality Assurance / Quality Control Manager with total (19) years of experience in Construction Quality Management Systems, (12) years in managing Quality systems</w:t>
            </w:r>
          </w:p>
          <w:p w:rsidR="003D3836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Bachelor’s in Petroleum Engineering, Metallurgy &amp; Materials Dept. Suez Canal University, Egypt 2003</w:t>
            </w:r>
          </w:p>
          <w:p w:rsidR="003D3836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ISO 9001, ISO 14001 &amp; ISO45001 Internal Auditor Certification</w:t>
            </w:r>
          </w:p>
          <w:p w:rsidR="003D3836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PMI-PMP® Project Management Institute ID:8062288</w:t>
            </w:r>
          </w:p>
          <w:p w:rsidR="003D3836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Experience of working in SAP</w:t>
            </w:r>
          </w:p>
          <w:p w:rsid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Saudi Council of Engineers </w:t>
            </w:r>
          </w:p>
          <w:p w:rsidR="001C2E03" w:rsidRPr="003D3836" w:rsidRDefault="003D3836" w:rsidP="003D3836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3D3836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Egyptian Engineers Syndicate</w:t>
            </w:r>
          </w:p>
        </w:tc>
      </w:tr>
      <w:tr w:rsidR="001C2E03" w:rsidTr="00D87202">
        <w:tc>
          <w:tcPr>
            <w:tcW w:w="2243" w:type="dxa"/>
          </w:tcPr>
          <w:p w:rsidR="001C2E03" w:rsidRPr="00DD2669" w:rsidRDefault="006E6A14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DD2669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January 2021 -</w:t>
            </w:r>
          </w:p>
        </w:tc>
        <w:tc>
          <w:tcPr>
            <w:tcW w:w="8440" w:type="dxa"/>
          </w:tcPr>
          <w:p w:rsidR="001C2E03" w:rsidRPr="00D372B3" w:rsidRDefault="00D87202" w:rsidP="00183224">
            <w:pPr>
              <w:contextualSpacing/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>Consultant</w:t>
            </w:r>
            <w:r w:rsidR="00FC2490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 xml:space="preserve"> </w:t>
            </w:r>
            <w:r w:rsidR="00183224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 xml:space="preserve">QA/QC </w:t>
            </w:r>
            <w:r w:rsidR="00D372B3" w:rsidRPr="00D372B3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>Manager</w:t>
            </w:r>
          </w:p>
        </w:tc>
      </w:tr>
      <w:tr w:rsidR="001C2E03" w:rsidTr="00D87202">
        <w:tc>
          <w:tcPr>
            <w:tcW w:w="2243" w:type="dxa"/>
          </w:tcPr>
          <w:p w:rsidR="001C2E03" w:rsidRPr="00DD2669" w:rsidRDefault="00242D9A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August 2022</w:t>
            </w:r>
          </w:p>
        </w:tc>
        <w:tc>
          <w:tcPr>
            <w:tcW w:w="8440" w:type="dxa"/>
          </w:tcPr>
          <w:p w:rsidR="001C2E03" w:rsidRPr="00ED3B53" w:rsidRDefault="00094FA6" w:rsidP="00A55497">
            <w:p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AJEC/</w:t>
            </w:r>
            <w:r w:rsidR="00D372B3" w:rsidRPr="00D372B3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FICHTNER</w:t>
            </w:r>
            <w:r w:rsidR="00FB3551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/SWCC</w:t>
            </w:r>
            <w:r w:rsidR="00D372B3" w:rsidRPr="00D372B3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, Saudi Arabia                                                                        </w:t>
            </w:r>
          </w:p>
        </w:tc>
      </w:tr>
      <w:tr w:rsidR="002D1059" w:rsidTr="00D87202">
        <w:tc>
          <w:tcPr>
            <w:tcW w:w="2243" w:type="dxa"/>
          </w:tcPr>
          <w:p w:rsidR="002D1059" w:rsidRDefault="002D1059" w:rsidP="00A55497"/>
        </w:tc>
        <w:tc>
          <w:tcPr>
            <w:tcW w:w="8440" w:type="dxa"/>
          </w:tcPr>
          <w:p w:rsidR="00334F19" w:rsidRDefault="00FB3551" w:rsidP="00D87202">
            <w:p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  <w:r w:rsidRPr="00FB3551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KHOBAR TO DAMMAM / JAMIAH WATER TRANSMISSION SYSTEM 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Project </w:t>
            </w:r>
          </w:p>
          <w:p w:rsidR="00D87202" w:rsidRPr="00ED3B53" w:rsidRDefault="00D87202" w:rsidP="00D87202">
            <w:pPr>
              <w:contextualSpacing/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</w:pPr>
          </w:p>
        </w:tc>
      </w:tr>
      <w:tr w:rsidR="00D87202" w:rsidRPr="007715FA" w:rsidTr="00D87202">
        <w:tc>
          <w:tcPr>
            <w:tcW w:w="2243" w:type="dxa"/>
          </w:tcPr>
          <w:p w:rsidR="00D87202" w:rsidRDefault="00D87202" w:rsidP="00785BAC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December 2016 -</w:t>
            </w:r>
          </w:p>
        </w:tc>
        <w:tc>
          <w:tcPr>
            <w:tcW w:w="8440" w:type="dxa"/>
          </w:tcPr>
          <w:p w:rsidR="00D87202" w:rsidRPr="007715FA" w:rsidRDefault="00D87202" w:rsidP="00785BAC">
            <w:pPr>
              <w:rPr>
                <w:rFonts w:ascii="Gill Sans MT" w:eastAsia="Calibri" w:hAnsi="Gill Sans MT" w:cs="Arial"/>
                <w:sz w:val="24"/>
                <w:szCs w:val="24"/>
              </w:rPr>
            </w:pPr>
            <w:r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 xml:space="preserve">QA/QC </w:t>
            </w:r>
            <w:r w:rsidRPr="00D372B3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>Manager</w:t>
            </w:r>
          </w:p>
        </w:tc>
      </w:tr>
      <w:tr w:rsidR="00D87202" w:rsidRPr="00375322" w:rsidTr="00D87202">
        <w:tc>
          <w:tcPr>
            <w:tcW w:w="2243" w:type="dxa"/>
          </w:tcPr>
          <w:p w:rsidR="00D87202" w:rsidRDefault="00D87202" w:rsidP="00785BAC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December 2020</w:t>
            </w:r>
          </w:p>
        </w:tc>
        <w:tc>
          <w:tcPr>
            <w:tcW w:w="8440" w:type="dxa"/>
          </w:tcPr>
          <w:p w:rsidR="00D87202" w:rsidRPr="00375322" w:rsidRDefault="00D87202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 w:rsidRPr="0037532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NESMA HOLDING COMPANY, Saudi Arabia      </w:t>
            </w:r>
          </w:p>
        </w:tc>
      </w:tr>
      <w:tr w:rsidR="00D87202" w:rsidRPr="00375322" w:rsidTr="00D87202">
        <w:tc>
          <w:tcPr>
            <w:tcW w:w="2243" w:type="dxa"/>
          </w:tcPr>
          <w:p w:rsidR="00D87202" w:rsidRDefault="00D87202" w:rsidP="00785BAC"/>
        </w:tc>
        <w:tc>
          <w:tcPr>
            <w:tcW w:w="8440" w:type="dxa"/>
          </w:tcPr>
          <w:p w:rsidR="00D87202" w:rsidRPr="00375322" w:rsidRDefault="00D87202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 w:rsidRPr="0037532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Modern Bus Company – Makkah Buses Project – Makkah Mass Rail Transit</w:t>
            </w:r>
          </w:p>
        </w:tc>
      </w:tr>
      <w:tr w:rsidR="00D87202" w:rsidRPr="00E01AC6" w:rsidTr="00D87202">
        <w:tc>
          <w:tcPr>
            <w:tcW w:w="2243" w:type="dxa"/>
          </w:tcPr>
          <w:p w:rsidR="00D87202" w:rsidRDefault="00D87202" w:rsidP="00785BAC"/>
        </w:tc>
        <w:tc>
          <w:tcPr>
            <w:tcW w:w="8440" w:type="dxa"/>
          </w:tcPr>
          <w:p w:rsidR="00D87202" w:rsidRPr="00E01AC6" w:rsidRDefault="00D87202" w:rsidP="00785BAC">
            <w:pPr>
              <w:rPr>
                <w:rFonts w:ascii="Gill Sans MT" w:eastAsia="Calibri" w:hAnsi="Gill Sans MT" w:cs="Arial"/>
                <w:sz w:val="24"/>
                <w:szCs w:val="24"/>
              </w:rPr>
            </w:pPr>
          </w:p>
        </w:tc>
      </w:tr>
      <w:tr w:rsidR="00D87202" w:rsidRPr="007715FA" w:rsidTr="00D87202">
        <w:tc>
          <w:tcPr>
            <w:tcW w:w="2243" w:type="dxa"/>
          </w:tcPr>
          <w:p w:rsidR="00D87202" w:rsidRDefault="00242D9A" w:rsidP="00785BAC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May </w:t>
            </w:r>
            <w:r w:rsidR="00D8720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2010 -</w:t>
            </w:r>
          </w:p>
        </w:tc>
        <w:tc>
          <w:tcPr>
            <w:tcW w:w="8440" w:type="dxa"/>
          </w:tcPr>
          <w:p w:rsidR="00D87202" w:rsidRPr="007715FA" w:rsidRDefault="00D87202" w:rsidP="00785BAC">
            <w:pPr>
              <w:rPr>
                <w:rFonts w:ascii="Gill Sans MT" w:eastAsia="Calibri" w:hAnsi="Gill Sans MT" w:cs="Arial"/>
                <w:sz w:val="24"/>
                <w:szCs w:val="24"/>
              </w:rPr>
            </w:pPr>
            <w:r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>QHSE</w:t>
            </w:r>
            <w:r w:rsidRPr="00F17A44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 xml:space="preserve"> </w:t>
            </w:r>
            <w:r w:rsidRPr="00D372B3"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>Manager</w:t>
            </w:r>
          </w:p>
        </w:tc>
      </w:tr>
      <w:tr w:rsidR="00D87202" w:rsidRPr="00F17A44" w:rsidTr="00D87202">
        <w:tc>
          <w:tcPr>
            <w:tcW w:w="2243" w:type="dxa"/>
          </w:tcPr>
          <w:p w:rsidR="00D87202" w:rsidRDefault="00242D9A" w:rsidP="00785BAC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September</w:t>
            </w:r>
            <w:r w:rsidR="00D87202" w:rsidRPr="00F17A44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8720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2016</w:t>
            </w:r>
          </w:p>
        </w:tc>
        <w:tc>
          <w:tcPr>
            <w:tcW w:w="8440" w:type="dxa"/>
          </w:tcPr>
          <w:p w:rsidR="00D87202" w:rsidRPr="00F17A44" w:rsidRDefault="00D87202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 w:rsidRPr="00F17A4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SIEMENS SAE Energy Service-Field Services, Egypt</w:t>
            </w:r>
          </w:p>
        </w:tc>
      </w:tr>
      <w:tr w:rsidR="00D87202" w:rsidRPr="00F17A44" w:rsidTr="00D87202">
        <w:tc>
          <w:tcPr>
            <w:tcW w:w="2243" w:type="dxa"/>
          </w:tcPr>
          <w:p w:rsidR="00D87202" w:rsidRDefault="00D87202" w:rsidP="00785BAC"/>
        </w:tc>
        <w:tc>
          <w:tcPr>
            <w:tcW w:w="8440" w:type="dxa"/>
          </w:tcPr>
          <w:p w:rsidR="00D87202" w:rsidRPr="00F17A44" w:rsidRDefault="00D87202" w:rsidP="00785BAC">
            <w:pPr>
              <w:rPr>
                <w:color w:val="808080" w:themeColor="background1" w:themeShade="80"/>
              </w:rPr>
            </w:pPr>
          </w:p>
        </w:tc>
      </w:tr>
      <w:tr w:rsidR="00D87202" w:rsidRPr="007715FA" w:rsidTr="00D87202">
        <w:tc>
          <w:tcPr>
            <w:tcW w:w="2243" w:type="dxa"/>
          </w:tcPr>
          <w:p w:rsidR="00D87202" w:rsidRDefault="00D87202" w:rsidP="00D87202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October 2003 -</w:t>
            </w:r>
          </w:p>
        </w:tc>
        <w:tc>
          <w:tcPr>
            <w:tcW w:w="8440" w:type="dxa"/>
          </w:tcPr>
          <w:p w:rsidR="00D87202" w:rsidRPr="007715FA" w:rsidRDefault="00D87202" w:rsidP="00785BAC">
            <w:pPr>
              <w:rPr>
                <w:rFonts w:ascii="Gill Sans MT" w:eastAsia="Calibri" w:hAnsi="Gill Sans MT" w:cs="Arial"/>
                <w:sz w:val="24"/>
                <w:szCs w:val="24"/>
              </w:rPr>
            </w:pPr>
            <w:r>
              <w:rPr>
                <w:rFonts w:ascii="Gill Sans MT" w:hAnsi="Gill Sans MT" w:cs="HelveticaNeue-Condensed"/>
                <w:b/>
                <w:bCs/>
                <w:color w:val="808080" w:themeColor="background1" w:themeShade="80"/>
                <w:sz w:val="28"/>
                <w:szCs w:val="26"/>
              </w:rPr>
              <w:t xml:space="preserve">QA/QC Engineer </w:t>
            </w:r>
          </w:p>
        </w:tc>
      </w:tr>
      <w:tr w:rsidR="00D87202" w:rsidRPr="00627560" w:rsidTr="00D87202">
        <w:tc>
          <w:tcPr>
            <w:tcW w:w="2243" w:type="dxa"/>
          </w:tcPr>
          <w:p w:rsidR="00D87202" w:rsidRDefault="00242D9A" w:rsidP="00785BAC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March</w:t>
            </w:r>
            <w:r w:rsidR="00D8720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2010</w:t>
            </w:r>
          </w:p>
        </w:tc>
        <w:tc>
          <w:tcPr>
            <w:tcW w:w="8440" w:type="dxa"/>
          </w:tcPr>
          <w:p w:rsidR="00D87202" w:rsidRPr="00627560" w:rsidRDefault="00D87202" w:rsidP="00785BAC">
            <w:pPr>
              <w:rPr>
                <w:rFonts w:ascii="Gill Sans MT" w:hAnsi="Gill Sans MT"/>
                <w:color w:val="808080" w:themeColor="background1" w:themeShade="80"/>
                <w:sz w:val="24"/>
                <w:szCs w:val="24"/>
              </w:rPr>
            </w:pPr>
            <w:r w:rsidRPr="00627560">
              <w:rPr>
                <w:rFonts w:ascii="Gill Sans MT" w:hAnsi="Gill Sans MT"/>
                <w:color w:val="808080" w:themeColor="background1" w:themeShade="80"/>
                <w:sz w:val="24"/>
                <w:szCs w:val="24"/>
                <w:lang w:val="en-GB"/>
              </w:rPr>
              <w:t>Cons</w:t>
            </w:r>
            <w:r>
              <w:rPr>
                <w:rFonts w:ascii="Gill Sans MT" w:hAnsi="Gill Sans MT"/>
                <w:color w:val="808080" w:themeColor="background1" w:themeShade="80"/>
                <w:sz w:val="24"/>
                <w:szCs w:val="24"/>
                <w:lang w:val="en-GB"/>
              </w:rPr>
              <w:t>olidated Contractors Company</w:t>
            </w:r>
            <w:r w:rsidR="004F2E5A">
              <w:rPr>
                <w:rFonts w:ascii="Gill Sans MT" w:hAnsi="Gill Sans MT"/>
                <w:color w:val="808080" w:themeColor="background1" w:themeShade="80"/>
                <w:sz w:val="24"/>
                <w:szCs w:val="24"/>
                <w:lang w:val="en-GB"/>
              </w:rPr>
              <w:t>/Bechtel/Technip/Aramco</w:t>
            </w:r>
            <w:r w:rsidRPr="0037532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, Saudi Arabia      </w:t>
            </w:r>
          </w:p>
        </w:tc>
      </w:tr>
      <w:tr w:rsidR="00D87202" w:rsidRPr="00D957D5" w:rsidTr="00D87202">
        <w:tc>
          <w:tcPr>
            <w:tcW w:w="2243" w:type="dxa"/>
          </w:tcPr>
          <w:p w:rsidR="00D87202" w:rsidRDefault="00D87202" w:rsidP="00785BAC"/>
        </w:tc>
        <w:tc>
          <w:tcPr>
            <w:tcW w:w="8440" w:type="dxa"/>
          </w:tcPr>
          <w:p w:rsidR="00D87202" w:rsidRPr="00D957D5" w:rsidRDefault="00D87202" w:rsidP="00785BAC">
            <w:pPr>
              <w:jc w:val="both"/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</w:pPr>
            <w:r w:rsidRPr="00D957D5"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  <w:t xml:space="preserve">Khurasaniyah Gas Plant Project (KGPP) </w:t>
            </w:r>
            <w:r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D87202" w:rsidRPr="00D957D5" w:rsidTr="00D87202">
        <w:tc>
          <w:tcPr>
            <w:tcW w:w="2243" w:type="dxa"/>
          </w:tcPr>
          <w:p w:rsidR="00D87202" w:rsidRDefault="00D87202" w:rsidP="00785BAC"/>
        </w:tc>
        <w:tc>
          <w:tcPr>
            <w:tcW w:w="8440" w:type="dxa"/>
          </w:tcPr>
          <w:p w:rsidR="00D87202" w:rsidRDefault="00D87202" w:rsidP="00785BAC">
            <w:pPr>
              <w:jc w:val="both"/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</w:pPr>
            <w:r w:rsidRPr="00D957D5"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  <w:t>Rabigh Independent Water Steam and Power Project &amp;</w:t>
            </w:r>
            <w:r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  <w:t xml:space="preserve"> RO-Desalination Plant</w:t>
            </w:r>
          </w:p>
          <w:p w:rsidR="00D87202" w:rsidRDefault="00D87202" w:rsidP="00785BAC">
            <w:pPr>
              <w:jc w:val="both"/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</w:pPr>
          </w:p>
          <w:p w:rsidR="00D87202" w:rsidRDefault="00D87202" w:rsidP="00785BAC">
            <w:pPr>
              <w:jc w:val="both"/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</w:pPr>
          </w:p>
          <w:p w:rsidR="00D87202" w:rsidRPr="00D957D5" w:rsidRDefault="00D87202" w:rsidP="00785BAC">
            <w:pPr>
              <w:jc w:val="both"/>
              <w:rPr>
                <w:rFonts w:ascii="Gill Sans MT" w:eastAsia="Times New Roman" w:hAnsi="Gill Sans MT" w:cs="Verdana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246C23" w:rsidTr="00D87202">
        <w:tc>
          <w:tcPr>
            <w:tcW w:w="2243" w:type="dxa"/>
          </w:tcPr>
          <w:p w:rsidR="00334F19" w:rsidRDefault="00334F19" w:rsidP="00334F19">
            <w:pP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</w:pPr>
            <w:r>
              <w:rPr>
                <w:rFonts w:ascii="Century Gothic" w:hAnsi="Century Gothic" w:cs="HelveticaNeue-Condensed"/>
                <w:b/>
                <w:bCs/>
                <w:color w:val="002060"/>
                <w:sz w:val="28"/>
                <w:szCs w:val="26"/>
              </w:rPr>
              <w:t xml:space="preserve">Duties &amp; Responsibilities </w:t>
            </w:r>
          </w:p>
          <w:p w:rsidR="00334F19" w:rsidRDefault="00334F19" w:rsidP="00A55497"/>
          <w:p w:rsidR="00334F19" w:rsidRDefault="00E977A2" w:rsidP="00A55497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General Duties</w:t>
            </w:r>
          </w:p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6A085F" w:rsidRDefault="006A085F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4D2847" w:rsidRDefault="004D2847" w:rsidP="00A55497"/>
          <w:p w:rsidR="006A085F" w:rsidRDefault="006A085F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246130" w:rsidRDefault="00246130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246130" w:rsidRDefault="00246130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246130" w:rsidRDefault="00246130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246130" w:rsidRDefault="00246130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246130" w:rsidRDefault="00246130" w:rsidP="00A55497">
            <w:pP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  <w:p w:rsidR="00334F19" w:rsidRDefault="002B4D99" w:rsidP="00A55497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Civil Inspection Duties</w:t>
            </w:r>
            <w:r w:rsidR="00334F19">
              <w:t xml:space="preserve"> </w:t>
            </w:r>
          </w:p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334F19" w:rsidRDefault="00334F19" w:rsidP="00A55497"/>
          <w:p w:rsidR="006D542D" w:rsidRDefault="006D542D" w:rsidP="00A55497"/>
          <w:p w:rsidR="006D542D" w:rsidRDefault="006D542D" w:rsidP="00A55497"/>
          <w:p w:rsidR="006D542D" w:rsidRDefault="006D542D" w:rsidP="006D542D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Electrical </w:t>
            </w:r>
            <w:r w:rsidR="00F83909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Inspection </w:t>
            </w: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Duties</w:t>
            </w:r>
          </w:p>
          <w:p w:rsidR="006D542D" w:rsidRDefault="006D542D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A55497"/>
          <w:p w:rsidR="00D415E7" w:rsidRDefault="00D415E7" w:rsidP="00D415E7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Mechanical </w:t>
            </w:r>
            <w:r w:rsidR="00F83909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Inspection </w:t>
            </w: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Duties</w:t>
            </w:r>
          </w:p>
          <w:p w:rsidR="00D415E7" w:rsidRDefault="00D415E7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F83909" w:rsidRDefault="00F83909" w:rsidP="00A55497"/>
          <w:p w:rsidR="009C0D1C" w:rsidRDefault="009C0D1C" w:rsidP="00A55497"/>
          <w:p w:rsidR="009D61D3" w:rsidRDefault="009D61D3" w:rsidP="00A55497"/>
          <w:p w:rsidR="00F83909" w:rsidRDefault="00F83909" w:rsidP="00F83909"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Instrumentation Inspection Duties</w:t>
            </w:r>
          </w:p>
          <w:p w:rsidR="00F83909" w:rsidRDefault="00F83909" w:rsidP="00A55497"/>
        </w:tc>
        <w:tc>
          <w:tcPr>
            <w:tcW w:w="8440" w:type="dxa"/>
          </w:tcPr>
          <w:p w:rsidR="001A71BC" w:rsidRDefault="001A71BC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>• Conduct</w:t>
            </w:r>
            <w:r w:rsidRPr="001A71B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test protocols as assigned to ensure the products, components and analytical systems that are manufactured meet specified requirements and customer expectations. </w:t>
            </w:r>
          </w:p>
          <w:p w:rsidR="001A71BC" w:rsidRDefault="001A71BC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Assist</w:t>
            </w:r>
            <w:r w:rsidRPr="001A71B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engineering staff to develop test protocols as necessary to investigate the integrity of new products, or new functionality for existing products. </w:t>
            </w:r>
          </w:p>
          <w:p w:rsidR="001A71BC" w:rsidRDefault="001A71BC" w:rsidP="00246130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Provide</w:t>
            </w:r>
            <w:r w:rsidRPr="001A71B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su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pport to functional team</w:t>
            </w:r>
            <w:r w:rsidRPr="001A71B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to deploy incoming test protocols and to perform First Article Inspections.</w:t>
            </w:r>
            <w:r w:rsidR="001B4377">
              <w:t xml:space="preserve"> </w:t>
            </w:r>
            <w:r w:rsidR="001B437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Work </w:t>
            </w:r>
            <w:r w:rsidR="001B4377" w:rsidRPr="001B437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to improve existing test protocols and capability, resulting in great</w:t>
            </w:r>
            <w:r w:rsidR="001B437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er efficiency, accuracy, and </w:t>
            </w:r>
            <w:r w:rsidR="001B4377" w:rsidRPr="001B437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reliability of test outcomes</w:t>
            </w:r>
          </w:p>
          <w:p w:rsidR="001B4377" w:rsidRDefault="001B4377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323DB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Record, and evaluate</w:t>
            </w:r>
            <w:r w:rsidR="00323DB9" w:rsidRPr="00323DB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utilizing Lean 6 Sigma, engineering standards and specifications, the quantitative metrics that provide descriptive data for the determination of compliance to requirements</w:t>
            </w:r>
            <w:r w:rsidR="00323DB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323DB9" w:rsidRDefault="00323DB9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323DB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Enable and coaches employees to evaluate risks, problem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s and solutions from a customer and </w:t>
            </w:r>
            <w:r w:rsidRPr="00323DB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stakeholder point of view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323DB9" w:rsidRDefault="00323DB9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• </w:t>
            </w:r>
            <w:r w:rsid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Performs audits and gathering</w:t>
            </w:r>
            <w:r w:rsidR="004D2847" w:rsidRP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Quality data analytics from all parts of the operation to identify risks, failures and non-conformances within the local operations, its </w:t>
            </w:r>
            <w:r w:rsid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suppliers and customers. Assist</w:t>
            </w:r>
            <w:r w:rsidR="004D2847" w:rsidRP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in the application of appropriate corrective a</w:t>
            </w:r>
            <w:r w:rsid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nd preventive action and managed</w:t>
            </w:r>
            <w:r w:rsidR="004D2847" w:rsidRP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solutions to closure</w:t>
            </w:r>
            <w:r w:rsid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4D2847" w:rsidRDefault="004D2847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Prepared</w:t>
            </w:r>
            <w:r w:rsidRP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the ITP, FAT and SAT procedures for the analytical systems and assisting customer during Factory Acceptance Test of the Systems ensuring zero / minimum non conformities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4D2847" w:rsidRDefault="004D2847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4D284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Monitoring the customer complaints and ensuring the resolution within the given timeline and to the customer satisfaction.</w:t>
            </w:r>
          </w:p>
          <w:p w:rsidR="001A71BC" w:rsidRDefault="00183224" w:rsidP="001A71B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Responsible for the quality of work, inspect, test </w:t>
            </w:r>
            <w:r w:rsidR="001A7C6C" w:rsidRPr="001A7C6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and accept all parts of the WORK as defined in Schedule "B"</w:t>
            </w:r>
          </w:p>
          <w:p w:rsidR="001A7C6C" w:rsidRDefault="001A7C6C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P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repare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d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 a narrativ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e project specific Quality Plan, 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Construction Inspection &amp; Test Plans (ITPs) and pr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ocedures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, design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, procurement, construction and pre- 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commissioning activities in accordance with the latest version of ISO 100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05 (Quality Management Systems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 xml:space="preserve">) and Schedule </w:t>
            </w:r>
            <w:r w:rsidRPr="001A7C6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"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Q</w:t>
            </w:r>
            <w:r w:rsidRPr="001A7C6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"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A7C6C"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and submit it to the Company Representative for review and approval</w:t>
            </w:r>
            <w:r>
              <w:rPr>
                <w:rFonts w:ascii="Gill Sans MT" w:hAnsi="Gill Sans MT" w:cs="HelveticaNeue-Condensed"/>
                <w:color w:val="808080" w:themeColor="background1" w:themeShade="80"/>
                <w:sz w:val="24"/>
                <w:szCs w:val="24"/>
              </w:rPr>
              <w:t>.</w:t>
            </w:r>
          </w:p>
          <w:p w:rsidR="001A7C6C" w:rsidRDefault="001A7C6C" w:rsidP="009C0D1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R</w:t>
            </w:r>
            <w:r w:rsidRPr="001A7C6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eview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ed</w:t>
            </w:r>
            <w:r w:rsidRPr="001A7C6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CONTRACTOR's Quality documents(Quality Plan and Inspection &amp; Test Plans) and personnel qualifications</w:t>
            </w:r>
          </w:p>
          <w:p w:rsidR="00094FA6" w:rsidRDefault="00094FA6" w:rsidP="001A7C6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S</w:t>
            </w:r>
            <w:r w:rsidRPr="00094FA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ubmit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ted</w:t>
            </w:r>
            <w:r w:rsidRPr="00094FA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Vendors' Inspection and Test Plans</w:t>
            </w:r>
          </w:p>
          <w:p w:rsidR="00094FA6" w:rsidRDefault="00094FA6" w:rsidP="00094FA6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Adopted</w:t>
            </w:r>
            <w:r w:rsidRPr="00094FA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the COM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PANY Typical Inspection Plans (</w:t>
            </w:r>
            <w:r w:rsidRPr="00094FA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TIP) and C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OMPANY Inspection Checklists (</w:t>
            </w:r>
            <w:r w:rsidRPr="00094FA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IC) in its Quality Plan,</w:t>
            </w:r>
          </w:p>
          <w:p w:rsidR="00094FA6" w:rsidRDefault="00094FA6" w:rsidP="00094FA6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EE62D6"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 copy of the inspection results and status of the correction of non-conf</w:t>
            </w:r>
            <w:r w:rsid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ormances </w:t>
            </w:r>
            <w:r w:rsidR="00EE62D6"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submitted to the Company Representative each week</w:t>
            </w:r>
            <w:r w:rsid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EE62D6" w:rsidRDefault="00EE62D6" w:rsidP="00EE62D6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S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ubmit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ted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 quality audit schedule to the Company Representative for review and approval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and audit report.</w:t>
            </w:r>
          </w:p>
          <w:p w:rsidR="00EE62D6" w:rsidRDefault="00EE62D6" w:rsidP="00EE62D6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I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nvestigate root causes and initiate corrective actions for nonconform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ities identified in each audit. Verified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implementation and closeout of corrective actions prior to the next scheduled audit.</w:t>
            </w:r>
          </w:p>
          <w:p w:rsidR="00EE62D6" w:rsidRDefault="00EE62D6" w:rsidP="00BA23A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 P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repare</w:t>
            </w:r>
            <w:r w:rsid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d</w:t>
            </w:r>
            <w:r w:rsidRPr="00EE62D6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and submit a monthly Quality Management Report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consisted of l</w:t>
            </w:r>
            <w:r w:rsidR="000C0BDE" w:rsidRP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isting of quality audits completed (internal and subcontractor), in progress, and planned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for the next month, </w:t>
            </w:r>
            <w:r w:rsidR="000C0BDE" w:rsidRP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Status of open corrective a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ctions for non-conformities (NC</w:t>
            </w:r>
            <w:r w:rsidR="000C0BDE" w:rsidRP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Rs, Discrepancy Reports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COMPANY Logbook entries, audits and management reviews, quality personnel listing by d</w:t>
            </w:r>
            <w:r w:rsidR="000C0BDE" w:rsidRP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iscipline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l</w:t>
            </w:r>
            <w:r w:rsidR="000C0BDE" w:rsidRPr="000C0BDE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isting and status of engineering waivers requested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l</w:t>
            </w:r>
            <w:r w:rsidR="0010214A" w:rsidRP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isting of supplier surveys performed and results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p</w:t>
            </w:r>
            <w:r w:rsidR="0010214A" w:rsidRP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lanned surveys for the next month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listing of pre-inspection m</w:t>
            </w:r>
            <w:r w:rsidR="0010214A" w:rsidRP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eetings conducted and planned for the next month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l</w:t>
            </w:r>
            <w:r w:rsidR="0010214A" w:rsidRP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isting of supplier inspections performed and those planned for the next month</w:t>
            </w:r>
            <w:r w:rsidR="0010214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  <w:r w:rsidR="00BA23A7">
              <w:t xml:space="preserve"> </w:t>
            </w:r>
            <w:r w:rsidR="00BA23A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</w:t>
            </w:r>
            <w:r w:rsidR="00BA23A7" w:rsidRPr="00BA23A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isting and disposition of all defective or rejected material or equipment received at jobsite</w:t>
            </w:r>
            <w:r w:rsidR="00BA23A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, welding rejection rate reported.</w:t>
            </w:r>
          </w:p>
          <w:p w:rsidR="006A085F" w:rsidRDefault="004F3CF0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962CB5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Monitoring of construction process: Civil, Mechanical, Piping, Plumbing, Electrical, Instrumentation and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telecom system.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Earthworks -Site Preparation, Excavation and Backfill 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Soil Improvement </w:t>
            </w:r>
            <w:proofErr w:type="spellStart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Vibro</w:t>
            </w:r>
            <w:proofErr w:type="spellEnd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Replacement (Stone Columns) Pre-Installation (Survey) and Installation Inspection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Soil Improvement </w:t>
            </w:r>
            <w:proofErr w:type="spellStart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Vibro</w:t>
            </w:r>
            <w:proofErr w:type="spellEnd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Replacement (Stone Columns) Materials Receiving Inspection</w:t>
            </w:r>
          </w:p>
          <w:p w:rsidR="00D415E7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Soil Improvement </w:t>
            </w:r>
            <w:proofErr w:type="spellStart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Vibro</w:t>
            </w:r>
            <w:proofErr w:type="spellEnd"/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Replacement (Stone Columns) Materials Approval, 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Specialized Personnel Approval, Testing &amp; Review of Test Reports Inspection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Geotechnical Investigation Reports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Compaction Testing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Fill Placement and Compaction Inspection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Soil Protection and Control, Drainage and De-Watering Inspection</w:t>
            </w:r>
          </w:p>
          <w:p w:rsidR="00D415E7" w:rsidRPr="00DD051D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Fill, Select-Fill and Marl Cap Materials Receiving Inspection</w:t>
            </w:r>
          </w:p>
          <w:p w:rsidR="00D415E7" w:rsidRPr="00785BAC" w:rsidRDefault="00D415E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Soil Sampling, Testing and Review of Test Reports</w:t>
            </w:r>
          </w:p>
          <w:p w:rsidR="00785BAC" w:rsidRP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Evaporation Pond 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Ready M</w:t>
            </w:r>
            <w:r w:rsid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ix Concrete Batch Plants and 3rd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Party Laboratory Management </w:t>
            </w:r>
          </w:p>
          <w:p w:rsidR="001F73E9" w:rsidRPr="00785BAC" w:rsidRDefault="001F73E9" w:rsidP="001F73E9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Concrete Sampling, Testing &amp; Placement Inspection </w:t>
            </w:r>
          </w:p>
          <w:p w:rsidR="006A085F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Concreting and Foundation Works-Cast-in Place</w:t>
            </w:r>
            <w:r w:rsidR="00785BAC">
              <w:rPr>
                <w:rFonts w:ascii="Gill Sans MT" w:eastAsia="Calibri" w:hAnsi="Gill Sans MT" w:cs="Gill Sans MT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Cast-In-Place Portland Cement 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Concrete, foundations works &amp; critical pouring plan</w:t>
            </w:r>
            <w:r w:rsid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,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Duct banks and cable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trenches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Underground Civil Works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Road Paving &amp; CSW Channels</w:t>
            </w:r>
          </w:p>
          <w:p w:rsidR="00785BAC" w:rsidRDefault="006A085F" w:rsidP="00785BA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Building Plumbing</w:t>
            </w:r>
          </w:p>
          <w:p w:rsidR="00785BAC" w:rsidRDefault="006A085F" w:rsidP="00962CB5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Sanitary Sewer System</w:t>
            </w:r>
          </w:p>
          <w:p w:rsidR="00785BAC" w:rsidRDefault="006A085F" w:rsidP="00962CB5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Oily Water System</w:t>
            </w:r>
          </w:p>
          <w:p w:rsidR="00785BAC" w:rsidRDefault="006A085F" w:rsidP="00962CB5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Firewater System</w:t>
            </w:r>
          </w:p>
          <w:p w:rsidR="00785BAC" w:rsidRDefault="006A085F" w:rsidP="006A085F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Water Distribution Piping System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Excavation, Placement and Compaction in Trenches With High Pressure Piping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Excavation, Placement and Compaction in Non-</w:t>
            </w:r>
            <w:proofErr w:type="spellStart"/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Subkha</w:t>
            </w:r>
            <w:proofErr w:type="spellEnd"/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Areas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Excavation, Placement and Compaction in </w:t>
            </w:r>
            <w:proofErr w:type="spellStart"/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Subkha</w:t>
            </w:r>
            <w:proofErr w:type="spellEnd"/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Areas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Excavation Bracing and De-Watering Inspection</w:t>
            </w:r>
          </w:p>
          <w:p w:rsidR="00DD051D" w:rsidRPr="00DD051D" w:rsidRDefault="004F3CF0" w:rsidP="004F3CF0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Clean Sand and Aggregate Base Coarse Receiving 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of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Concre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 Installation</w:t>
            </w:r>
          </w:p>
          <w:p w:rsidR="004F3CF0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Concrete Erectio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n &amp; Alignment Inspection 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4F3CF0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Structural and Architectural Pre-cast Concrete Pre-Installation Inspecti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on 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Receiving &amp; Storage Inspection for Structural and Architectural Pre- Cast Concrete Members &amp; Connectors</w:t>
            </w:r>
          </w:p>
          <w:p w:rsidR="004F3CF0" w:rsidRDefault="004F3CF0" w:rsidP="004F3CF0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Repair of Major Defects on St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ructural Concrete Inspection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DD051D" w:rsidRPr="00DD051D" w:rsidRDefault="004F3CF0" w:rsidP="004F3CF0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Conventional Asphalt &amp; Sulfur Extended Asphalt Concrete Receiving, Placement and Testing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Placement, Compaction and Quality Control of Foamed Stabilized Materials</w:t>
            </w:r>
          </w:p>
          <w:p w:rsidR="00DD051D" w:rsidRPr="00DD051D" w:rsidRDefault="00DD051D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Stabilization Equipment Set-up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Material Sampling, Testing &amp; Review of Engineering Properties of Foamed Stabilizing Agents &amp; Sub-base Materials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Foundation and Epoxy Grout Curing/Protection and Final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Epoxy Grout Mixing, Placement, Sampling &amp; Testing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Epoxy Grout Pre-Installation Inspection 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Epoxy Grout Materials Receiving and Storage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Sampling, Testing Epoxy Grout and Review of Compressive Strength Test Report 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Cement Based Non-Shrink Grout Mixing, Placement, Sampling, Testing, Curing and Final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Cement Based Non-Shrink Grout Surface Preparation &amp; Final Formwork Inspection Prior to Grouting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Cement Based Non-Shrink Grout Material Components and Ingredients Receiving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Review of Quality Control Program &amp; Procedures for the Installation of Cement Based Non-Shrink Grout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Non-Shrink Grout Materials, Sampling, Testing, and Review of Compressive Strength Test Report 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Asphalt Paving Final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Asphalt Core Density Testing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Asphalt Pavement Prime Coat &amp; Tack Coating Inspection</w:t>
            </w:r>
          </w:p>
          <w:p w:rsidR="00DD051D" w:rsidRPr="00DD051D" w:rsidRDefault="004F3CF0" w:rsidP="009C0D1C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Placement </w:t>
            </w:r>
            <w:r w:rsidR="009C0D1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&amp;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Compaction of Sub-base </w:t>
            </w:r>
            <w:r w:rsidR="009C0D1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&amp;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Aggregate Base Course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Sub-grades, Elevation and Surface Preparation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Sub-base and Aggregate Base Course Material Receiving Inspection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Raw Materials Sampling, Testing &amp; Asphalt Mix Design Review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Aggregate Subbase and Base Course Materials Sampling, Testing &amp; Review of Test Reports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Plant QC Lab Inspection (Asphalt)</w:t>
            </w:r>
          </w:p>
          <w:p w:rsidR="00DD051D" w:rsidRPr="00DD051D" w:rsidRDefault="004F3CF0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Hot Mix Asphalt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Asphaltic Concrete Ingredients Inspection At Batch Plants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Batch Plant Equipment and Set-up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Raw Materials Sampling, Testing and Review of Test Reports/ Plant Calibration Certificate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Post-Concreting &amp; Final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Tensioning and Grouting Inspection for Pre-Stressed/ Post-Tensioned Concrete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ecast &amp; Pre-Stressed Concrete -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Concrete Placement, Sampling and Testing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Tensioning and Releas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ing Inspection for Pre-Stressed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- Pre-Tensioned Concrete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e-cast &amp; Pre-Stressed Concrete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- Casting Beds Set-Up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e-Cast &amp; Pre-Stressed Concrete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-  Pre-Concreting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Concrete Fence Posts at Fabrication Yards Demolding and Curing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Concrete Fence Posts at Fabrication Yards Concrete Placement, Sampling &amp; Testing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Pre-Cast Concrete Fence Posts at Fabrication Yards Reinforcing Bar and Formwork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Compressive Strength Testing and Final Acceptance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Concrete Formwork Stripping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Concrete Finishing and Curing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FBE Reinforcing Steel, Embedded Items, and Form Closure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Concrete Formwork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Concrete Grade &amp; Site Preparation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Concrete Pumps/Transit Mixer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Cast-in-Place Ready Mix Concrete Receiving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Handling, Storage &amp; Preservation of FBE Steel Bars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FBE Rebar &amp; </w:t>
            </w:r>
            <w:r w:rsidR="004B497B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Embedment’s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Receiving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Raw Materials Sampling, Testing &amp; Concrete Mix Design Approval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Ingredients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Raw Materials Sampling, Testing and Reviewing Test Reports/ Plant Calibration Certificates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Raised Equipment Floor Material Receiving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Glass &amp; Glazing Installation &amp; Final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Ceilings Suspension System Installation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Waterproofing Surface Preparation, Waterproofing Layer Installation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Masonry Units and Plaster Installation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Masonry Unit (CMU) Compressive Strength and Aggregate Test Reports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Backfilling and Berm Construction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Pipe Lowering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Pipeline Right of Way (ROW)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Coating an</w:t>
            </w:r>
            <w:r w:rsidR="004B497B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d Final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Coatings Pre-Installation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Coatings and Repair Materials Receiving, Storage &amp; Preservation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Concrete Fireproofing Final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Fireproofing Concrete Curing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Fireproofing Concrete Application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Fire Proofing Pre-placement/ Site Preparation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HDPE Liner Final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HDPE Liner Placement and Seaming Inspection</w:t>
            </w:r>
          </w:p>
          <w:p w:rsidR="00DD051D" w:rsidRPr="00DD051D" w:rsidRDefault="00CF5562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HDPE Liner Material Receiving &amp; Storage Inspection</w:t>
            </w:r>
          </w:p>
          <w:p w:rsidR="00A55497" w:rsidRDefault="00CF5562" w:rsidP="006D542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</w:t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-</w:t>
            </w:r>
            <w:r w:rsidR="00DD051D" w:rsidRPr="00DD051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we</w:t>
            </w:r>
            <w:r w:rsidR="006D542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ld Qualification of HDPE Welder</w:t>
            </w:r>
          </w:p>
          <w:p w:rsidR="00A55497" w:rsidRDefault="00A55497" w:rsidP="00BA2F52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UPS/DC Electrochemical Battery, Storage and Preservation</w:t>
            </w:r>
            <w:r w:rsidR="00B24BE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Testing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UPS/DC  Vented Ni-Cad Wet Cell, Jobsite Acceptan</w:t>
            </w:r>
            <w:r w:rsidR="00D415E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ce Test</w:t>
            </w:r>
            <w:r w:rsidR="00D415E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D415E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D415E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BA2F52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Static Switch, Pre-Commissioning &amp; Functional Testing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BA2F52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Transfer Switch, Pre-Commissioning &amp; Functional Testing</w:t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A2F52" w:rsidRPr="00BA2F52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171EB4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71EB4" w:rsidRP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Bypass line Transformer, Pre-Comm</w:t>
            </w:r>
            <w:r w:rsid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issioning &amp; Functional Testing</w:t>
            </w:r>
            <w:r w:rsid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171EB4" w:rsidRP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71EB4" w:rsidRP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Maintenance Bypass Switch, Pre-Commissioning &amp; Functional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71EB4" w:rsidRP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Panelboards / CB's, Pre-Commissioning &amp; Functional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71EB4" w:rsidRPr="00171EB4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UPS/DC Battery Rectifier / Charger, Pre-Commissioning &amp; Functional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UPS Distribution System, Energized Bolted - Fault Test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DC Switchboard / CB's, Pre-Commissioning &amp; Functional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DC Panelboards / CB's, Pre-Commissioning &amp; Functional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Medium/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Low Voltage Power and Control Cable (On Reel), Continuity and Megger Insulation Resistance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Medium/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Low Voltage Building Wire (On Reel), Continuity and Megger Insulation Resistance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Medium/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Low Voltage Power and Control Cable, Continuity and Megger Insulation Resistance Testing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Medium/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Low Voltage Building Wire, Continuity and Megger Insulation Resistance Testing</w:t>
            </w:r>
          </w:p>
          <w:p w:rsidR="00B61BA9" w:rsidRDefault="00A55497" w:rsidP="00B61BA9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Medium/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Low Voltage Power and Control Cable, Termination Torque Testing</w:t>
            </w:r>
          </w:p>
          <w:p w:rsidR="00B61BA9" w:rsidRDefault="00A55497" w:rsidP="00B61BA9"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Cable Tray, NEMA VE 1 Static Load Testing</w:t>
            </w:r>
            <w:r w:rsidR="00B61BA9">
              <w:t xml:space="preserve"> </w:t>
            </w:r>
          </w:p>
          <w:p w:rsidR="00A55497" w:rsidRDefault="00A55497" w:rsidP="00B24BE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HVAC System - Energized Functional Testing &amp; Motor Four Hour Run Test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Fire / Jockey Pump Motors &amp; Controller Calibration, Setting, and Functional Testing    </w:t>
            </w:r>
          </w:p>
          <w:p w:rsidR="00A55497" w:rsidRDefault="00A55497" w:rsidP="00DD051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Protection &amp; Metering - Meter / Recorder Calibration, Setting, and Functional Testing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MV Switchgear - Metal-Enclosed Switchgear Pre-Energized and Functional Testing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61BA9">
              <w:t xml:space="preserve"> </w:t>
            </w:r>
            <w:r w:rsidR="00B61BA9" w:rsidRPr="00B61BA9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Power Circuit Breakers - Protection Relay and Trip Unit Testing and Setting</w:t>
            </w:r>
          </w:p>
          <w:p w:rsidR="00A55497" w:rsidRDefault="00A55497" w:rsidP="00D415E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24BED">
              <w:t xml:space="preserve"> </w:t>
            </w:r>
            <w:r w:rsidR="00B24BED" w:rsidRPr="00B24BE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Power Transformer - Jobsite Testing    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B24BED">
              <w:t xml:space="preserve"> </w:t>
            </w:r>
            <w:r w:rsidR="00B24BED" w:rsidRPr="00B24BE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Pressure Test Report (Valve Inspection &amp; Field Te</w:t>
            </w:r>
            <w:r w:rsidR="00D415E7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sting)</w:t>
            </w:r>
            <w:r w:rsidR="00B24BED" w:rsidRPr="00B24BE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 w:rsidR="00B24BED" w:rsidRPr="00B24BE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Equipment Preservation (Static/Rotating/Packages)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Shop Welding (Structural)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Shop Welding (Piping after Welding Tracking System approval and orientation by Contractor)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Field Welding (Piping)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Piping Fabrication &amp; Installation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PWHT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ND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 Works (Workshop &amp; Site)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Valve Inspection, Testing &amp; Installation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Static Equipment Erection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Tankage Fabrication/Erection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Rotating Equipment Installation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Packages &amp; Skids Installation</w:t>
            </w:r>
          </w:p>
          <w:p w:rsidR="00A55497" w:rsidRDefault="00A55497" w:rsidP="00A55497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Painting / Coating &amp; Insulation</w:t>
            </w:r>
          </w:p>
          <w:p w:rsidR="00B61BA9" w:rsidRDefault="00A55497" w:rsidP="00B61BA9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4F2E5A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5BAC" w:rsidRPr="00785BAC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Pressure Relief Valves ( receipt, testing, storage/handling &amp; installation)</w:t>
            </w:r>
          </w:p>
          <w:p w:rsidR="00F83909" w:rsidRDefault="00F83909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Fire Alarm System </w:t>
            </w:r>
          </w:p>
          <w:p w:rsidR="00F83909" w:rsidRDefault="00F83909" w:rsidP="00D06993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General Piping and Tubing System - Materials Receiving for Instrument Air supply, Impulse line purge, pneumatic signal transmission installations and for connecting instruments to process piping and equipment</w:t>
            </w:r>
          </w:p>
          <w:p w:rsidR="00F83909" w:rsidRDefault="00F83909" w:rsidP="00D06993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lastRenderedPageBreak/>
              <w:t>•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Flow meters </w:t>
            </w:r>
          </w:p>
          <w:p w:rsidR="00F83909" w:rsidRDefault="00F83909" w:rsidP="00D06993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Pressure switches </w:t>
            </w:r>
          </w:p>
          <w:p w:rsidR="00F83909" w:rsidRDefault="00F83909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•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Level 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–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gauge/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Displacement Instruments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Resistance Temperature Detectors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Temperature - Infra-Red Instruments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Instrumentation and Control Loop checking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Instrument Cable -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Fiber Optic Cable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Electronic Control Systems</w:t>
            </w:r>
            <w:r w:rsid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 – PLC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FOUNDATION Fieldbus Instruments and Accessories</w:t>
            </w:r>
          </w:p>
          <w:p w:rsidR="007A7FAD" w:rsidRDefault="009D61D3" w:rsidP="007A7FAD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 xml:space="preserve">• </w:t>
            </w:r>
            <w:r w:rsidR="007A7FAD" w:rsidRPr="007A7FAD"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>Combustible Gas and Hydrogen Sulfides Air Detection System</w:t>
            </w:r>
          </w:p>
          <w:p w:rsidR="001A7C6C" w:rsidRPr="00246C23" w:rsidRDefault="00D06993" w:rsidP="00D06993">
            <w:pP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rFonts w:ascii="Gill Sans MT" w:eastAsia="Calibri" w:hAnsi="Gill Sans MT" w:cs="Arial"/>
                <w:color w:val="808080" w:themeColor="background1" w:themeShade="80"/>
                <w:sz w:val="24"/>
                <w:szCs w:val="24"/>
              </w:rPr>
              <w:tab/>
            </w:r>
          </w:p>
        </w:tc>
      </w:tr>
      <w:tr w:rsidR="00627560" w:rsidTr="00D87202">
        <w:tc>
          <w:tcPr>
            <w:tcW w:w="2243" w:type="dxa"/>
          </w:tcPr>
          <w:p w:rsidR="00627560" w:rsidRPr="00151785" w:rsidRDefault="00627560" w:rsidP="002D1059">
            <w:pPr>
              <w:rPr>
                <w:rFonts w:ascii="Century Gothic" w:hAnsi="Century Gothic" w:cs="HelveticaNeue-Condense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440" w:type="dxa"/>
          </w:tcPr>
          <w:p w:rsidR="00627560" w:rsidRDefault="00627560" w:rsidP="00A55497"/>
        </w:tc>
      </w:tr>
      <w:tr w:rsidR="00627560" w:rsidTr="00D87202">
        <w:tc>
          <w:tcPr>
            <w:tcW w:w="2243" w:type="dxa"/>
          </w:tcPr>
          <w:p w:rsidR="00627560" w:rsidRPr="00DD2669" w:rsidRDefault="00627560" w:rsidP="00A554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0" w:type="dxa"/>
          </w:tcPr>
          <w:p w:rsidR="00627560" w:rsidRPr="00151785" w:rsidRDefault="00627560" w:rsidP="00151785">
            <w:pPr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627560" w:rsidTr="00D87202">
        <w:tc>
          <w:tcPr>
            <w:tcW w:w="2243" w:type="dxa"/>
          </w:tcPr>
          <w:p w:rsidR="00627560" w:rsidRDefault="00627560" w:rsidP="00A55497"/>
        </w:tc>
        <w:tc>
          <w:tcPr>
            <w:tcW w:w="8440" w:type="dxa"/>
          </w:tcPr>
          <w:p w:rsidR="00627560" w:rsidRDefault="00627560" w:rsidP="00A55497"/>
        </w:tc>
      </w:tr>
    </w:tbl>
    <w:p w:rsidR="00077963" w:rsidRDefault="00077963"/>
    <w:sectPr w:rsidR="00077963" w:rsidSect="00C82F3F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1C" w:rsidRDefault="00EB0A1C" w:rsidP="00FB3551">
      <w:pPr>
        <w:spacing w:after="0" w:line="240" w:lineRule="auto"/>
      </w:pPr>
      <w:r>
        <w:separator/>
      </w:r>
    </w:p>
  </w:endnote>
  <w:endnote w:type="continuationSeparator" w:id="0">
    <w:p w:rsidR="00EB0A1C" w:rsidRDefault="00EB0A1C" w:rsidP="00FB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E" w:rsidRPr="00FC704E" w:rsidRDefault="00FC704E" w:rsidP="00FC704E">
    <w:pPr>
      <w:pStyle w:val="Footer"/>
      <w:jc w:val="right"/>
      <w:rPr>
        <w:rFonts w:ascii="Century Gothic" w:hAnsi="Century Gothic"/>
        <w:sz w:val="14"/>
        <w:szCs w:val="14"/>
      </w:rPr>
    </w:pPr>
    <w:r w:rsidRPr="00FC704E">
      <w:rPr>
        <w:rFonts w:ascii="Century Gothic" w:hAnsi="Century Gothic"/>
        <w:sz w:val="14"/>
        <w:szCs w:val="14"/>
      </w:rPr>
      <w:t xml:space="preserve">Tamer </w:t>
    </w:r>
    <w:proofErr w:type="spellStart"/>
    <w:r w:rsidRPr="00FC704E">
      <w:rPr>
        <w:rFonts w:ascii="Century Gothic" w:hAnsi="Century Gothic"/>
        <w:sz w:val="14"/>
        <w:szCs w:val="14"/>
      </w:rPr>
      <w:t>Qattawi•QA</w:t>
    </w:r>
    <w:proofErr w:type="spellEnd"/>
    <w:r w:rsidRPr="00FC704E">
      <w:rPr>
        <w:rFonts w:ascii="Century Gothic" w:hAnsi="Century Gothic"/>
        <w:sz w:val="14"/>
        <w:szCs w:val="14"/>
      </w:rPr>
      <w:t>/QC Manager</w:t>
    </w:r>
  </w:p>
  <w:p w:rsidR="00FC704E" w:rsidRPr="00FC704E" w:rsidRDefault="00EB0A1C" w:rsidP="00FC704E">
    <w:pPr>
      <w:pStyle w:val="Footer"/>
      <w:jc w:val="right"/>
      <w:rPr>
        <w:rFonts w:ascii="Century Gothic" w:hAnsi="Century Gothic"/>
        <w:sz w:val="14"/>
        <w:szCs w:val="14"/>
      </w:rPr>
    </w:pPr>
    <w:sdt>
      <w:sdtPr>
        <w:rPr>
          <w:rFonts w:ascii="Century Gothic" w:hAnsi="Century Gothic"/>
          <w:sz w:val="14"/>
          <w:szCs w:val="14"/>
        </w:rPr>
        <w:id w:val="11944221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4"/>
              <w:szCs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C704E" w:rsidRPr="00FC704E">
              <w:rPr>
                <w:rFonts w:ascii="Century Gothic" w:hAnsi="Century Gothic"/>
                <w:sz w:val="14"/>
                <w:szCs w:val="14"/>
              </w:rPr>
              <w:t xml:space="preserve">Page </w: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begin"/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instrText xml:space="preserve"> PAGE </w:instrTex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3D3836"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t xml:space="preserve"> of </w: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begin"/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instrText xml:space="preserve"> NUMPAGES  </w:instrTex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3D3836">
              <w:rPr>
                <w:rFonts w:ascii="Century Gothic" w:hAnsi="Century Gothic"/>
                <w:noProof/>
                <w:sz w:val="14"/>
                <w:szCs w:val="14"/>
              </w:rPr>
              <w:t>6</w:t>
            </w:r>
            <w:r w:rsidR="00FC704E" w:rsidRPr="00FC704E">
              <w:rPr>
                <w:rFonts w:ascii="Century Gothic" w:hAnsi="Century Gothic"/>
                <w:sz w:val="14"/>
                <w:szCs w:val="14"/>
              </w:rPr>
              <w:fldChar w:fldCharType="end"/>
            </w:r>
          </w:sdtContent>
        </w:sdt>
      </w:sdtContent>
    </w:sdt>
  </w:p>
  <w:p w:rsidR="00FC704E" w:rsidRDefault="00FC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1C" w:rsidRDefault="00EB0A1C" w:rsidP="00FB3551">
      <w:pPr>
        <w:spacing w:after="0" w:line="240" w:lineRule="auto"/>
      </w:pPr>
      <w:r>
        <w:separator/>
      </w:r>
    </w:p>
  </w:footnote>
  <w:footnote w:type="continuationSeparator" w:id="0">
    <w:p w:rsidR="00EB0A1C" w:rsidRDefault="00EB0A1C" w:rsidP="00FB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C8C"/>
    <w:multiLevelType w:val="hybridMultilevel"/>
    <w:tmpl w:val="ACEEB3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C591A"/>
    <w:multiLevelType w:val="multilevel"/>
    <w:tmpl w:val="E9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1"/>
    <w:rsid w:val="000249C3"/>
    <w:rsid w:val="00041CEB"/>
    <w:rsid w:val="00042437"/>
    <w:rsid w:val="000535C7"/>
    <w:rsid w:val="00077963"/>
    <w:rsid w:val="00094FA6"/>
    <w:rsid w:val="000C0BDE"/>
    <w:rsid w:val="0010214A"/>
    <w:rsid w:val="00104DD5"/>
    <w:rsid w:val="00151785"/>
    <w:rsid w:val="00171EB4"/>
    <w:rsid w:val="00181D43"/>
    <w:rsid w:val="00183224"/>
    <w:rsid w:val="001A71BC"/>
    <w:rsid w:val="001A7C6C"/>
    <w:rsid w:val="001B4377"/>
    <w:rsid w:val="001C2E03"/>
    <w:rsid w:val="001D5F3C"/>
    <w:rsid w:val="001F73E9"/>
    <w:rsid w:val="00227158"/>
    <w:rsid w:val="00242D9A"/>
    <w:rsid w:val="00246130"/>
    <w:rsid w:val="00246C23"/>
    <w:rsid w:val="002B4D99"/>
    <w:rsid w:val="002D1059"/>
    <w:rsid w:val="002F3C12"/>
    <w:rsid w:val="00323DB9"/>
    <w:rsid w:val="00334F19"/>
    <w:rsid w:val="00375322"/>
    <w:rsid w:val="003D3836"/>
    <w:rsid w:val="00432D59"/>
    <w:rsid w:val="0045014C"/>
    <w:rsid w:val="00450CE9"/>
    <w:rsid w:val="004516F1"/>
    <w:rsid w:val="00461991"/>
    <w:rsid w:val="00475929"/>
    <w:rsid w:val="004B497B"/>
    <w:rsid w:val="004D2847"/>
    <w:rsid w:val="004F2E5A"/>
    <w:rsid w:val="004F3CF0"/>
    <w:rsid w:val="004F43B2"/>
    <w:rsid w:val="00524775"/>
    <w:rsid w:val="005C342F"/>
    <w:rsid w:val="00627560"/>
    <w:rsid w:val="00632D77"/>
    <w:rsid w:val="00671DA3"/>
    <w:rsid w:val="006A085F"/>
    <w:rsid w:val="006D542D"/>
    <w:rsid w:val="006E6A14"/>
    <w:rsid w:val="00704849"/>
    <w:rsid w:val="00785BAC"/>
    <w:rsid w:val="007A411F"/>
    <w:rsid w:val="007A7FAD"/>
    <w:rsid w:val="00804714"/>
    <w:rsid w:val="00832579"/>
    <w:rsid w:val="00905736"/>
    <w:rsid w:val="00934190"/>
    <w:rsid w:val="00962CB5"/>
    <w:rsid w:val="009A7656"/>
    <w:rsid w:val="009C0D1C"/>
    <w:rsid w:val="009D61D3"/>
    <w:rsid w:val="00A55497"/>
    <w:rsid w:val="00A57A0E"/>
    <w:rsid w:val="00AC1512"/>
    <w:rsid w:val="00AC57AB"/>
    <w:rsid w:val="00AD2469"/>
    <w:rsid w:val="00B24BED"/>
    <w:rsid w:val="00B61BA9"/>
    <w:rsid w:val="00BA23A7"/>
    <w:rsid w:val="00BA2F52"/>
    <w:rsid w:val="00C82F3F"/>
    <w:rsid w:val="00C83712"/>
    <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:rsid w:val="00DD2669"/>
    <w:rsid w:val="00E34B54"/>
    <w:rsid w:val="00E62032"/>
    <w:rsid w:val="00E977A2"/>
    <w:rsid w:val="00EB0A1C"/>
    <w:rsid w:val="00EB363E"/>
    <w:rsid w:val="00EC2BB1"/>
    <w:rsid w:val="00EE49C0"/>
    <w:rsid w:val="00EE62D6"/>
    <w:rsid w:val="00EF21BF"/>
    <w:rsid w:val="00F17A44"/>
    <w:rsid w:val="00F602B5"/>
    <w:rsid w:val="00F82171"/>
    <w:rsid w:val="00F83909"/>
    <w:rsid w:val="00FB3551"/>
    <w:rsid w:val="00FC2123"/>
    <w:rsid w:val="00FC2490"/>
    <w:rsid w:val="00FC704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51"/>
  </w:style>
  <w:style w:type="paragraph" w:styleId="Footer">
    <w:name w:val="footer"/>
    <w:basedOn w:val="Normal"/>
    <w:link w:val="FooterChar"/>
    <w:uiPriority w:val="99"/>
    <w:unhideWhenUsed/>
    <w:rsid w:val="00FB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51"/>
  </w:style>
  <w:style w:type="paragraph" w:styleId="Footer">
    <w:name w:val="footer"/>
    <w:basedOn w:val="Normal"/>
    <w:link w:val="FooterChar"/>
    <w:uiPriority w:val="99"/>
    <w:unhideWhenUsed/>
    <w:rsid w:val="00FB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q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TAMQAT</dc:creator>
  <cp:lastModifiedBy>TAMQAT</cp:lastModifiedBy>
  <cp:revision>10</cp:revision>
  <dcterms:created xsi:type="dcterms:W3CDTF">2022-08-26T02:22:00Z</dcterms:created>
  <dcterms:modified xsi:type="dcterms:W3CDTF">2022-08-28T00:00:00Z</dcterms:modified>
</cp:coreProperties>
</file>